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BB7F4F" w:rsidRDefault="00BB7F4F" w:rsidP="00BB7F4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BB7F4F" w:rsidRDefault="00BB7F4F" w:rsidP="00BB7F4F">
      <w:pPr>
        <w:spacing w:before="100" w:beforeAutospacing="1" w:after="100" w:afterAutospacing="1" w:line="240" w:lineRule="auto"/>
        <w:jc w:val="both"/>
        <w:rPr>
          <w:b/>
        </w:rPr>
      </w:pPr>
      <w:proofErr w:type="spellStart"/>
      <w:r>
        <w:rPr>
          <w:b/>
        </w:rPr>
        <w:t>Solez</w:t>
      </w:r>
      <w:proofErr w:type="spellEnd"/>
      <w:r>
        <w:rPr>
          <w:b/>
        </w:rPr>
        <w:t xml:space="preserve"> - Inteligentné riešenia na podporu </w:t>
      </w:r>
      <w:proofErr w:type="spellStart"/>
      <w:r>
        <w:rPr>
          <w:b/>
        </w:rPr>
        <w:t>nízkoemisných</w:t>
      </w:r>
      <w:proofErr w:type="spellEnd"/>
      <w:r>
        <w:rPr>
          <w:b/>
        </w:rPr>
        <w:t xml:space="preserve"> zón a ďalších politík na znižovanie uhlíkových emisií v mestách EÚ </w:t>
      </w:r>
    </w:p>
    <w:p w:rsidR="00BB7F4F" w:rsidRDefault="00BB7F4F" w:rsidP="00BB7F4F">
      <w:r>
        <w:t>Špecifický cieľ 2.3 -  Zlepšiť kapacity pre plánovanie mobility vo funkčných mestských územiach s cieľom znížiť emisie CO</w:t>
      </w:r>
      <w:r>
        <w:rPr>
          <w:vertAlign w:val="superscript"/>
        </w:rPr>
        <w:t>2</w:t>
      </w:r>
    </w:p>
    <w:p w:rsidR="00BB7F4F" w:rsidRDefault="00BB7F4F" w:rsidP="00BB7F4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BB7F4F" w:rsidRDefault="00BB7F4F" w:rsidP="00BB7F4F">
      <w:r>
        <w:t>Mesto Žilina</w:t>
      </w:r>
    </w:p>
    <w:p w:rsidR="00BB7F4F" w:rsidRDefault="00BB7F4F" w:rsidP="00BB7F4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BB7F4F" w:rsidRDefault="00BB7F4F" w:rsidP="00BB7F4F">
      <w:pPr>
        <w:spacing w:before="100" w:beforeAutospacing="1" w:after="100" w:afterAutospacing="1" w:line="240" w:lineRule="auto"/>
        <w:jc w:val="both"/>
      </w:pPr>
      <w:r>
        <w:t xml:space="preserve">Projekt SOLEZ spája mestá, ktoré sa v rôznej miere usilujú  o implementáciu </w:t>
      </w:r>
      <w:proofErr w:type="spellStart"/>
      <w:r>
        <w:t>nízkouhlíkových</w:t>
      </w:r>
      <w:proofErr w:type="spellEnd"/>
      <w:r>
        <w:t xml:space="preserve"> riešení v oblasti mobility, vďaka čomu bude možné vylepšiť ich stratégie a vyvinúť inteligentné služby a produkty týkajúce sa konceptu </w:t>
      </w:r>
      <w:proofErr w:type="spellStart"/>
      <w:r>
        <w:t>nízkoemisných</w:t>
      </w:r>
      <w:proofErr w:type="spellEnd"/>
      <w:r>
        <w:t xml:space="preserve"> zón vo funkčných mestských oblastiach. Aktivity projektu budú zohľadňovať potreby lokálnej administratívy, obyvateľov, turistov a súkromných prevádzkovateľov, pričom ich výsledkom bude:</w:t>
      </w:r>
    </w:p>
    <w:p w:rsidR="00BB7F4F" w:rsidRDefault="00BB7F4F" w:rsidP="00BB7F4F">
      <w:pPr>
        <w:spacing w:before="100" w:beforeAutospacing="1" w:after="100" w:afterAutospacing="1" w:line="240" w:lineRule="auto"/>
        <w:jc w:val="both"/>
      </w:pPr>
      <w:r>
        <w:t xml:space="preserve">- Posilnenie dialógu kľúčových aktérov o reštriktívnej politike prístupu do centier miest prostredníctvom definovania a implementácie vhodných stratégií a iniciatív </w:t>
      </w:r>
      <w:r w:rsidR="004A795D">
        <w:t>na zaangažovanie týchto aktérov,</w:t>
      </w:r>
      <w:r>
        <w:t xml:space="preserve"> </w:t>
      </w:r>
    </w:p>
    <w:p w:rsidR="00BB7F4F" w:rsidRDefault="00BB7F4F" w:rsidP="00BB7F4F">
      <w:pPr>
        <w:spacing w:before="100" w:beforeAutospacing="1" w:after="100" w:afterAutospacing="1" w:line="240" w:lineRule="auto"/>
        <w:jc w:val="both"/>
      </w:pPr>
      <w:r>
        <w:t xml:space="preserve">- Návrh, vývoj a pilotná aplikácia inovatívnych služieb a riešení založených na IKT a podporujúcich fungovanie </w:t>
      </w:r>
      <w:proofErr w:type="spellStart"/>
      <w:r>
        <w:t>nízkoemisných</w:t>
      </w:r>
      <w:proofErr w:type="spellEnd"/>
      <w:r>
        <w:t xml:space="preserve"> zón a iných reštrikčných politík, pričom cieľom bude podpora redukcie negatívnych vedľajších efektov týchto opatrení.</w:t>
      </w:r>
    </w:p>
    <w:p w:rsidR="00BB7F4F" w:rsidRDefault="00BB7F4F" w:rsidP="00BB7F4F">
      <w:pPr>
        <w:spacing w:before="100" w:beforeAutospacing="1" w:after="100" w:afterAutospacing="1" w:line="240" w:lineRule="auto"/>
        <w:jc w:val="both"/>
      </w:pPr>
      <w:r>
        <w:t xml:space="preserve">Vďaka vyššie uvedenému projekt prispeje k dosiahnutiu cieľov Európskej únie v oblasti redukcie dopravy vo funkčných mestských oblastiach, k zlepšeniu kapacít predstaviteľov samospráv pre plánovanie v oblasti </w:t>
      </w:r>
      <w:proofErr w:type="spellStart"/>
      <w:r>
        <w:t>nízkouhlíkovej</w:t>
      </w:r>
      <w:proofErr w:type="spellEnd"/>
      <w:r>
        <w:t xml:space="preserve"> mobility a k zvýšeniu prijateľnosti navrhovaných opatrení. </w:t>
      </w:r>
    </w:p>
    <w:p w:rsidR="00BB7F4F" w:rsidRDefault="00BB7F4F" w:rsidP="00BB7F4F">
      <w:pPr>
        <w:spacing w:before="100" w:beforeAutospacing="1" w:after="100" w:afterAutospacing="1" w:line="240" w:lineRule="auto"/>
        <w:jc w:val="both"/>
      </w:pPr>
      <w:r>
        <w:t>V rámci projektu sa plánujú realizovať aj pilotné aktivity, výsledkom čo bude  napr. skrátenie trasy pri hľadaní parkovacieho miesta.</w:t>
      </w:r>
    </w:p>
    <w:p w:rsidR="00BB7F4F" w:rsidRDefault="00BB7F4F" w:rsidP="00BB7F4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Celkový rozpočet</w:t>
      </w:r>
    </w:p>
    <w:p w:rsidR="00BB7F4F" w:rsidRDefault="00BB7F4F" w:rsidP="00BB7F4F">
      <w:r>
        <w:t>1 933 734 eur</w:t>
      </w:r>
    </w:p>
    <w:p w:rsidR="00BB7F4F" w:rsidRDefault="00BB7F4F" w:rsidP="00BB7F4F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BB7F4F" w:rsidRDefault="00BB7F4F" w:rsidP="00BB7F4F">
      <w:r>
        <w:t>Taliansko, Chorvátsko, Česká republika, Rakúsko, Maďarsko, Taliansko, Poľsko, Slovensko</w:t>
      </w:r>
    </w:p>
    <w:p w:rsidR="00EE557F" w:rsidRDefault="00EE557F" w:rsidP="00EE557F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BB7F4F" w:rsidRDefault="00EE557F" w:rsidP="00BB7F4F">
      <w:r>
        <w:fldChar w:fldCharType="begin"/>
      </w:r>
      <w:r>
        <w:instrText xml:space="preserve"> HYPERLINK "http://www.interreg-central.eu/Content.Node/SOLEZ.html" </w:instrText>
      </w:r>
      <w:r>
        <w:fldChar w:fldCharType="separate"/>
      </w:r>
      <w:r w:rsidR="00BB7F4F">
        <w:rPr>
          <w:rStyle w:val="Hypertextovprepojenie"/>
        </w:rPr>
        <w:t>http://www.interreg-central.eu/Content.Node/SOLEZ.html</w:t>
      </w:r>
      <w:r>
        <w:rPr>
          <w:rStyle w:val="Hypertextovprepojenie"/>
        </w:rPr>
        <w:fldChar w:fldCharType="end"/>
      </w:r>
    </w:p>
    <w:p w:rsidR="00BB7F4F" w:rsidRDefault="00BB7F4F"/>
    <w:sectPr w:rsidR="00BB7F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05C" w:rsidRDefault="00DC505C" w:rsidP="00FB11F8">
      <w:pPr>
        <w:spacing w:after="0" w:line="240" w:lineRule="auto"/>
      </w:pPr>
      <w:r>
        <w:separator/>
      </w:r>
    </w:p>
  </w:endnote>
  <w:endnote w:type="continuationSeparator" w:id="0">
    <w:p w:rsidR="00DC505C" w:rsidRDefault="00DC505C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EE557F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05C" w:rsidRDefault="00DC505C" w:rsidP="00FB11F8">
      <w:pPr>
        <w:spacing w:after="0" w:line="240" w:lineRule="auto"/>
      </w:pPr>
      <w:r>
        <w:separator/>
      </w:r>
    </w:p>
  </w:footnote>
  <w:footnote w:type="continuationSeparator" w:id="0">
    <w:p w:rsidR="00DC505C" w:rsidRDefault="00DC505C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05D3A"/>
    <w:rsid w:val="0031288F"/>
    <w:rsid w:val="00435E5E"/>
    <w:rsid w:val="004A795D"/>
    <w:rsid w:val="007C3A00"/>
    <w:rsid w:val="0099229B"/>
    <w:rsid w:val="00BA2EE5"/>
    <w:rsid w:val="00BB7F4F"/>
    <w:rsid w:val="00C34A06"/>
    <w:rsid w:val="00DC505C"/>
    <w:rsid w:val="00DD0A98"/>
    <w:rsid w:val="00E4260E"/>
    <w:rsid w:val="00EE557F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74F2EB"/>
  <w15:docId w15:val="{BE7D4F2A-7C80-4CC6-AF6D-CE10226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7F4F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0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0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9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2018-05-24T13:30:00Z</dcterms:created>
  <dcterms:modified xsi:type="dcterms:W3CDTF">2018-05-30T06:42:00Z</dcterms:modified>
</cp:coreProperties>
</file>